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8"/>
        <w:ind w:firstLine="560"/>
        <w:jc w:val="left"/>
        <w:rPr>
          <w:rFonts w:ascii="微软雅黑" w:hAnsi="微软雅黑" w:eastAsia="微软雅黑"/>
          <w:sz w:val="28"/>
          <w:szCs w:val="28"/>
        </w:rPr>
      </w:pPr>
      <w:r>
        <w:rPr>
          <w:rFonts w:hint="eastAsia" w:ascii="微软雅黑" w:hAnsi="微软雅黑" w:eastAsia="微软雅黑"/>
          <w:sz w:val="28"/>
          <w:szCs w:val="28"/>
        </w:rPr>
        <w:t>文王贡年份系列产品是文王贡酒打造的中档宴请招待用酒整体器型为汉代官俑造型，端庄古雅，稳重质感。其代表作品有文王贡酒2</w:t>
      </w:r>
      <w:r>
        <w:rPr>
          <w:rFonts w:ascii="微软雅黑" w:hAnsi="微软雅黑" w:eastAsia="微软雅黑"/>
          <w:sz w:val="28"/>
          <w:szCs w:val="28"/>
        </w:rPr>
        <w:t>0</w:t>
      </w:r>
      <w:r>
        <w:rPr>
          <w:rFonts w:hint="eastAsia" w:ascii="微软雅黑" w:hAnsi="微软雅黑" w:eastAsia="微软雅黑"/>
          <w:sz w:val="28"/>
          <w:szCs w:val="28"/>
        </w:rPr>
        <w:t>、文王贡酒</w:t>
      </w:r>
      <w:r>
        <w:rPr>
          <w:rFonts w:ascii="微软雅黑" w:hAnsi="微软雅黑" w:eastAsia="微软雅黑"/>
          <w:sz w:val="28"/>
          <w:szCs w:val="28"/>
        </w:rPr>
        <w:t>15和文王贡酒12，分别定位于</w:t>
      </w:r>
      <w:r>
        <w:rPr>
          <w:rFonts w:hint="eastAsia" w:ascii="微软雅黑" w:hAnsi="微软雅黑" w:eastAsia="微软雅黑"/>
          <w:sz w:val="28"/>
          <w:szCs w:val="28"/>
        </w:rPr>
        <w:t>商务</w:t>
      </w:r>
      <w:r>
        <w:rPr>
          <w:rFonts w:ascii="微软雅黑" w:hAnsi="微软雅黑" w:eastAsia="微软雅黑"/>
          <w:sz w:val="28"/>
          <w:szCs w:val="28"/>
        </w:rPr>
        <w:t>宴请和婚喜宴招待用酒。</w:t>
      </w:r>
    </w:p>
    <w:p>
      <w:pPr>
        <w:pStyle w:val="8"/>
        <w:ind w:firstLine="0" w:firstLineChars="0"/>
        <w:jc w:val="left"/>
        <w:rPr>
          <w:rFonts w:ascii="微软雅黑" w:hAnsi="微软雅黑" w:eastAsia="微软雅黑"/>
          <w:b/>
          <w:bCs/>
          <w:sz w:val="24"/>
          <w:szCs w:val="24"/>
        </w:rPr>
      </w:pPr>
      <w:r>
        <w:rPr>
          <w:rFonts w:hint="eastAsia" w:ascii="微软雅黑" w:hAnsi="微软雅黑" w:eastAsia="微软雅黑"/>
          <w:b/>
          <w:bCs/>
          <w:sz w:val="24"/>
          <w:szCs w:val="24"/>
        </w:rPr>
        <w:t>文20，真实年份，从容商务</w:t>
      </w:r>
    </w:p>
    <w:p>
      <w:pPr>
        <w:pStyle w:val="8"/>
        <w:numPr>
          <w:ilvl w:val="0"/>
          <w:numId w:val="1"/>
        </w:numPr>
        <w:ind w:firstLineChars="0"/>
        <w:rPr>
          <w:rFonts w:ascii="微软雅黑" w:hAnsi="微软雅黑" w:eastAsia="微软雅黑"/>
          <w:sz w:val="24"/>
          <w:szCs w:val="24"/>
        </w:rPr>
      </w:pPr>
      <w:r>
        <w:rPr>
          <w:rFonts w:hint="eastAsia" w:ascii="微软雅黑" w:hAnsi="微软雅黑" w:eastAsia="微软雅黑"/>
          <w:b/>
          <w:bCs/>
          <w:sz w:val="24"/>
          <w:szCs w:val="24"/>
        </w:rPr>
        <w:t>高颜值。</w:t>
      </w:r>
      <w:r>
        <w:rPr>
          <w:rFonts w:hint="eastAsia" w:ascii="微软雅黑" w:hAnsi="微软雅黑" w:eastAsia="微软雅黑"/>
          <w:sz w:val="24"/>
          <w:szCs w:val="24"/>
        </w:rPr>
        <w:t>中国儒士瓶器型占位，线条流畅，刚柔兼备，寓意“官运亨通、诸事亨通”。夔龙纹图腾，瑞兽吉祥，寓意权威，玄墨金砂品相，低调奢华，沉稳内涵。传统文化元素与现代工艺技术的结合，提升宴请档次、更显身份高贵。</w:t>
      </w:r>
    </w:p>
    <w:p>
      <w:pPr>
        <w:pStyle w:val="8"/>
        <w:numPr>
          <w:ilvl w:val="0"/>
          <w:numId w:val="1"/>
        </w:numPr>
        <w:ind w:firstLineChars="0"/>
        <w:rPr>
          <w:rFonts w:ascii="微软雅黑" w:hAnsi="微软雅黑" w:eastAsia="微软雅黑"/>
          <w:sz w:val="24"/>
          <w:szCs w:val="24"/>
        </w:rPr>
      </w:pPr>
      <w:r>
        <w:rPr>
          <w:rFonts w:hint="eastAsia" w:ascii="微软雅黑" w:hAnsi="微软雅黑" w:eastAsia="微软雅黑"/>
          <w:b/>
          <w:bCs/>
          <w:sz w:val="24"/>
          <w:szCs w:val="24"/>
        </w:rPr>
        <w:t>高品质。</w:t>
      </w:r>
      <w:r>
        <w:rPr>
          <w:rFonts w:hint="eastAsia" w:ascii="微软雅黑" w:hAnsi="微软雅黑" w:eastAsia="微软雅黑"/>
          <w:sz w:val="24"/>
          <w:szCs w:val="24"/>
        </w:rPr>
        <w:t>入口绵柔、回甘回香，保障了初饮、饮中、饮后的舒适度；非遗工艺、古法酿造，独创绵甜口感。公开酒体年份配方，</w:t>
      </w:r>
      <w:r>
        <w:rPr>
          <w:rFonts w:ascii="微软雅黑" w:hAnsi="微软雅黑" w:eastAsia="微软雅黑"/>
          <w:sz w:val="24"/>
          <w:szCs w:val="24"/>
        </w:rPr>
        <w:t>6-16年陈年老酒，极其稀有珍贵。</w:t>
      </w:r>
      <w:r>
        <w:rPr>
          <w:rFonts w:hint="eastAsia" w:ascii="微软雅黑" w:hAnsi="微软雅黑" w:eastAsia="微软雅黑"/>
          <w:sz w:val="24"/>
          <w:szCs w:val="24"/>
        </w:rPr>
        <w:t>见之清亮、闻之浓香、尝之绵甜，文2</w:t>
      </w:r>
      <w:r>
        <w:rPr>
          <w:rFonts w:ascii="微软雅黑" w:hAnsi="微软雅黑" w:eastAsia="微软雅黑"/>
          <w:sz w:val="24"/>
          <w:szCs w:val="24"/>
        </w:rPr>
        <w:t>0</w:t>
      </w:r>
      <w:r>
        <w:rPr>
          <w:rFonts w:hint="eastAsia" w:ascii="微软雅黑" w:hAnsi="微软雅黑" w:eastAsia="微软雅黑"/>
          <w:sz w:val="24"/>
          <w:szCs w:val="24"/>
        </w:rPr>
        <w:t>的上市是非遗酿、真年份、绵甜香的又一品质代表。</w:t>
      </w:r>
    </w:p>
    <w:p>
      <w:pPr>
        <w:pStyle w:val="8"/>
        <w:numPr>
          <w:ilvl w:val="0"/>
          <w:numId w:val="1"/>
        </w:numPr>
        <w:ind w:firstLineChars="0"/>
        <w:rPr>
          <w:rFonts w:ascii="微软雅黑" w:hAnsi="微软雅黑" w:eastAsia="微软雅黑"/>
          <w:sz w:val="24"/>
          <w:szCs w:val="24"/>
        </w:rPr>
      </w:pPr>
      <w:r>
        <w:rPr>
          <w:rFonts w:hint="eastAsia" w:ascii="微软雅黑" w:hAnsi="微软雅黑" w:eastAsia="微软雅黑"/>
          <w:b/>
          <w:bCs/>
          <w:sz w:val="24"/>
          <w:szCs w:val="24"/>
        </w:rPr>
        <w:t>新选择。</w:t>
      </w:r>
      <w:r>
        <w:rPr>
          <w:rFonts w:hint="eastAsia" w:ascii="微软雅黑" w:hAnsi="微软雅黑" w:eastAsia="微软雅黑"/>
          <w:sz w:val="24"/>
          <w:szCs w:val="24"/>
        </w:rPr>
        <w:t>文2</w:t>
      </w:r>
      <w:r>
        <w:rPr>
          <w:rFonts w:ascii="微软雅黑" w:hAnsi="微软雅黑" w:eastAsia="微软雅黑"/>
          <w:sz w:val="24"/>
          <w:szCs w:val="24"/>
        </w:rPr>
        <w:t>0</w:t>
      </w:r>
      <w:r>
        <w:rPr>
          <w:rFonts w:hint="eastAsia" w:ascii="微软雅黑" w:hAnsi="微软雅黑" w:eastAsia="微软雅黑"/>
          <w:sz w:val="24"/>
          <w:szCs w:val="24"/>
        </w:rPr>
        <w:t>专注中高端宴请、商务宴请白酒市场。外形复古典雅，彰显尊贵；酒体丰满绵甜，保障品质。内外兼修，表里如一。市场统一零售价</w:t>
      </w:r>
      <w:r>
        <w:rPr>
          <w:rFonts w:ascii="微软雅黑" w:hAnsi="微软雅黑" w:eastAsia="微软雅黑"/>
          <w:sz w:val="24"/>
          <w:szCs w:val="24"/>
        </w:rPr>
        <w:t>498元/瓶，</w:t>
      </w:r>
      <w:r>
        <w:rPr>
          <w:rFonts w:hint="eastAsia" w:ascii="微软雅黑" w:hAnsi="微软雅黑" w:eastAsia="微软雅黑"/>
          <w:sz w:val="24"/>
          <w:szCs w:val="24"/>
        </w:rPr>
        <w:t>是</w:t>
      </w:r>
      <w:r>
        <w:rPr>
          <w:rFonts w:ascii="微软雅黑" w:hAnsi="微软雅黑" w:eastAsia="微软雅黑"/>
          <w:sz w:val="24"/>
          <w:szCs w:val="24"/>
        </w:rPr>
        <w:t>中档价位、高档品质的</w:t>
      </w:r>
      <w:r>
        <w:rPr>
          <w:rFonts w:hint="eastAsia" w:ascii="微软雅黑" w:hAnsi="微软雅黑" w:eastAsia="微软雅黑"/>
          <w:sz w:val="24"/>
          <w:szCs w:val="24"/>
        </w:rPr>
        <w:t>白酒</w:t>
      </w:r>
      <w:r>
        <w:rPr>
          <w:rFonts w:ascii="微软雅黑" w:hAnsi="微软雅黑" w:eastAsia="微软雅黑"/>
          <w:sz w:val="24"/>
          <w:szCs w:val="24"/>
        </w:rPr>
        <w:t>消费新选择。</w:t>
      </w:r>
    </w:p>
    <w:p>
      <w:pPr>
        <w:pStyle w:val="8"/>
        <w:numPr>
          <w:numId w:val="0"/>
        </w:numPr>
        <w:ind w:leftChars="0"/>
        <w:rPr>
          <w:rFonts w:ascii="微软雅黑" w:hAnsi="微软雅黑" w:eastAsia="微软雅黑"/>
          <w:sz w:val="24"/>
          <w:szCs w:val="24"/>
        </w:rPr>
      </w:pPr>
      <w:r>
        <w:drawing>
          <wp:inline distT="0" distB="0" distL="114300" distR="114300">
            <wp:extent cx="4301490" cy="2419350"/>
            <wp:effectExtent l="0" t="0" r="11430" b="3810"/>
            <wp:docPr id="4" name="图片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1"/>
                    <pic:cNvPicPr>
                      <a:picLocks noChangeAspect="1"/>
                    </pic:cNvPicPr>
                  </pic:nvPicPr>
                  <pic:blipFill>
                    <a:blip r:embed="rId4"/>
                    <a:stretch>
                      <a:fillRect/>
                    </a:stretch>
                  </pic:blipFill>
                  <pic:spPr>
                    <a:xfrm>
                      <a:off x="0" y="0"/>
                      <a:ext cx="4301490" cy="2419350"/>
                    </a:xfrm>
                    <a:prstGeom prst="rect">
                      <a:avLst/>
                    </a:prstGeom>
                  </pic:spPr>
                </pic:pic>
              </a:graphicData>
            </a:graphic>
          </wp:inline>
        </w:drawing>
      </w:r>
    </w:p>
    <w:p>
      <w:pPr>
        <w:rPr>
          <w:rFonts w:ascii="微软雅黑" w:hAnsi="微软雅黑" w:eastAsia="微软雅黑"/>
          <w:b/>
          <w:bCs/>
          <w:sz w:val="24"/>
          <w:szCs w:val="24"/>
        </w:rPr>
      </w:pPr>
      <w:r>
        <w:rPr>
          <w:rFonts w:hint="eastAsia" w:ascii="微软雅黑" w:hAnsi="微软雅黑" w:eastAsia="微软雅黑"/>
          <w:b/>
          <w:bCs/>
          <w:sz w:val="24"/>
          <w:szCs w:val="24"/>
        </w:rPr>
        <w:t>文</w:t>
      </w:r>
      <w:r>
        <w:rPr>
          <w:rFonts w:ascii="微软雅黑" w:hAnsi="微软雅黑" w:eastAsia="微软雅黑"/>
          <w:b/>
          <w:bCs/>
          <w:sz w:val="24"/>
          <w:szCs w:val="24"/>
        </w:rPr>
        <w:t>15卖点梳理</w:t>
      </w:r>
    </w:p>
    <w:p>
      <w:pPr>
        <w:ind w:firstLine="480" w:firstLineChars="200"/>
        <w:rPr>
          <w:rFonts w:ascii="微软雅黑" w:hAnsi="微软雅黑" w:eastAsia="微软雅黑"/>
          <w:sz w:val="24"/>
          <w:szCs w:val="24"/>
        </w:rPr>
      </w:pPr>
      <w:r>
        <w:rPr>
          <w:rFonts w:hint="eastAsia" w:ascii="微软雅黑" w:hAnsi="微软雅黑" w:eastAsia="微软雅黑"/>
          <w:sz w:val="24"/>
          <w:szCs w:val="24"/>
        </w:rPr>
        <w:t>文王黄金腰部战略新品</w:t>
      </w:r>
      <w:r>
        <w:rPr>
          <w:rFonts w:ascii="微软雅黑" w:hAnsi="微软雅黑" w:eastAsia="微软雅黑"/>
          <w:sz w:val="24"/>
          <w:szCs w:val="24"/>
        </w:rPr>
        <w:t>----文15，千呼万唤始出来！</w:t>
      </w:r>
    </w:p>
    <w:p>
      <w:pPr>
        <w:ind w:firstLine="480" w:firstLineChars="200"/>
        <w:rPr>
          <w:rFonts w:ascii="微软雅黑" w:hAnsi="微软雅黑" w:eastAsia="微软雅黑"/>
          <w:sz w:val="24"/>
          <w:szCs w:val="24"/>
        </w:rPr>
      </w:pPr>
      <w:r>
        <w:rPr>
          <w:rFonts w:hint="eastAsia" w:ascii="微软雅黑" w:hAnsi="微软雅黑" w:eastAsia="微软雅黑"/>
          <w:sz w:val="24"/>
          <w:szCs w:val="24"/>
        </w:rPr>
        <w:t>整个安徽市场，二三百元价位已经成为白酒消费新的主流价位，市场统一售价</w:t>
      </w:r>
      <w:r>
        <w:rPr>
          <w:rFonts w:ascii="微软雅黑" w:hAnsi="微软雅黑" w:eastAsia="微软雅黑"/>
          <w:sz w:val="24"/>
          <w:szCs w:val="24"/>
        </w:rPr>
        <w:t>308元/瓶的文15，是一瓶内外兼修的白酒新贵。</w:t>
      </w:r>
    </w:p>
    <w:p>
      <w:pPr>
        <w:rPr>
          <w:rFonts w:ascii="微软雅黑" w:hAnsi="微软雅黑" w:eastAsia="微软雅黑"/>
          <w:sz w:val="24"/>
          <w:szCs w:val="24"/>
        </w:rPr>
      </w:pPr>
      <w:r>
        <w:rPr>
          <w:rFonts w:hint="eastAsia" w:ascii="微软雅黑" w:hAnsi="微软雅黑" w:eastAsia="微软雅黑"/>
          <w:b/>
          <w:bCs/>
          <w:sz w:val="24"/>
          <w:szCs w:val="24"/>
        </w:rPr>
        <w:t>一、好品质。</w:t>
      </w:r>
      <w:r>
        <w:rPr>
          <w:rFonts w:hint="eastAsia" w:ascii="微软雅黑" w:hAnsi="微软雅黑" w:eastAsia="微软雅黑"/>
          <w:sz w:val="24"/>
          <w:szCs w:val="24"/>
        </w:rPr>
        <w:t>公开酒体配方依然是她的核心卖点，</w:t>
      </w:r>
      <w:r>
        <w:rPr>
          <w:rFonts w:ascii="微软雅黑" w:hAnsi="微软雅黑" w:eastAsia="微软雅黑"/>
          <w:sz w:val="24"/>
          <w:szCs w:val="24"/>
        </w:rPr>
        <w:t>8年以上基酒占比100%；采用文王独创的绵甜型标准，入口绵甜，回甘回香；42%VOL，500ml，可小酌可豪饮，自家酿、真年份的品质保障了初饮、饮中、饮后的舒适度。</w:t>
      </w:r>
    </w:p>
    <w:p>
      <w:pPr>
        <w:rPr>
          <w:rFonts w:ascii="微软雅黑" w:hAnsi="微软雅黑" w:eastAsia="微软雅黑"/>
          <w:sz w:val="24"/>
          <w:szCs w:val="24"/>
        </w:rPr>
      </w:pPr>
      <w:r>
        <w:rPr>
          <w:rFonts w:hint="eastAsia" w:ascii="微软雅黑" w:hAnsi="微软雅黑" w:eastAsia="微软雅黑"/>
          <w:b/>
          <w:bCs/>
          <w:sz w:val="24"/>
          <w:szCs w:val="24"/>
        </w:rPr>
        <w:t>二、高颜值。</w:t>
      </w:r>
      <w:r>
        <w:rPr>
          <w:rFonts w:hint="eastAsia" w:ascii="微软雅黑" w:hAnsi="微软雅黑" w:eastAsia="微软雅黑"/>
          <w:sz w:val="24"/>
          <w:szCs w:val="24"/>
        </w:rPr>
        <w:t>整个瓶型采用汉代官俑的造型，线条流畅，刚柔兼备，寓意“官运亨通、诸事亨通”。“精选原粮、绵甜好水、红心酒曲、夹泥发酵、独家分蒸、千年匠心”六大卖点图标镌刻瓶身，引发酒桌话题。</w:t>
      </w:r>
    </w:p>
    <w:p>
      <w:pPr>
        <w:rPr>
          <w:rFonts w:ascii="微软雅黑" w:hAnsi="微软雅黑" w:eastAsia="微软雅黑"/>
          <w:sz w:val="24"/>
          <w:szCs w:val="24"/>
        </w:rPr>
      </w:pPr>
      <w:r>
        <w:rPr>
          <w:rFonts w:hint="eastAsia" w:ascii="微软雅黑" w:hAnsi="微软雅黑" w:eastAsia="微软雅黑"/>
          <w:b/>
          <w:bCs/>
          <w:sz w:val="24"/>
          <w:szCs w:val="24"/>
        </w:rPr>
        <w:t>三、高中奖。</w:t>
      </w:r>
      <w:r>
        <w:rPr>
          <w:rFonts w:hint="eastAsia" w:ascii="微软雅黑" w:hAnsi="微软雅黑" w:eastAsia="微软雅黑"/>
          <w:sz w:val="24"/>
          <w:szCs w:val="24"/>
        </w:rPr>
        <w:t>为回馈广大消费者，瓶瓶设奖，开盒扫码有惊喜，</w:t>
      </w:r>
      <w:r>
        <w:rPr>
          <w:rFonts w:ascii="微软雅黑" w:hAnsi="微软雅黑" w:eastAsia="微软雅黑"/>
          <w:sz w:val="24"/>
          <w:szCs w:val="24"/>
        </w:rPr>
        <w:t>100%中奖，体现出文王人的诚意。兑奖便捷，扫码后，2.8元、88元、118元现金红包直接到账。特等奖价值2180元精品餐具直接送到家。</w:t>
      </w:r>
    </w:p>
    <w:p>
      <w:pPr>
        <w:ind w:firstLine="480" w:firstLineChars="200"/>
        <w:rPr>
          <w:rFonts w:ascii="微软雅黑" w:hAnsi="微软雅黑" w:eastAsia="微软雅黑"/>
          <w:sz w:val="24"/>
          <w:szCs w:val="24"/>
        </w:rPr>
      </w:pPr>
      <w:r>
        <w:rPr>
          <w:rFonts w:hint="eastAsia" w:ascii="微软雅黑" w:hAnsi="微软雅黑" w:eastAsia="微软雅黑"/>
          <w:sz w:val="24"/>
          <w:szCs w:val="24"/>
        </w:rPr>
        <w:t>二三百元价位，职场中坚力量白酒消费主价位。三、两瓶文</w:t>
      </w:r>
      <w:r>
        <w:rPr>
          <w:rFonts w:ascii="微软雅黑" w:hAnsi="微软雅黑" w:eastAsia="微软雅黑"/>
          <w:sz w:val="24"/>
          <w:szCs w:val="24"/>
        </w:rPr>
        <w:t>15，点燃酒桌气氛。让我们一起举杯，致敬奋斗15年的我和你！</w:t>
      </w:r>
    </w:p>
    <w:p>
      <w:pPr>
        <w:ind w:firstLine="420" w:firstLineChars="200"/>
        <w:rPr>
          <w:rFonts w:ascii="微软雅黑" w:hAnsi="微软雅黑" w:eastAsia="微软雅黑"/>
          <w:sz w:val="24"/>
          <w:szCs w:val="24"/>
        </w:rPr>
      </w:pPr>
      <w:r>
        <w:drawing>
          <wp:inline distT="0" distB="0" distL="114300" distR="114300">
            <wp:extent cx="3458845" cy="2778125"/>
            <wp:effectExtent l="0" t="0" r="635" b="10795"/>
            <wp:docPr id="1" name="图片 3" descr="文王贡-组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descr="文王贡-组合"/>
                    <pic:cNvPicPr>
                      <a:picLocks noChangeAspect="1"/>
                    </pic:cNvPicPr>
                  </pic:nvPicPr>
                  <pic:blipFill>
                    <a:blip r:embed="rId5"/>
                    <a:srcRect t="27000" b="19444"/>
                    <a:stretch>
                      <a:fillRect/>
                    </a:stretch>
                  </pic:blipFill>
                  <pic:spPr>
                    <a:xfrm>
                      <a:off x="0" y="0"/>
                      <a:ext cx="3458845" cy="2778125"/>
                    </a:xfrm>
                    <a:prstGeom prst="rect">
                      <a:avLst/>
                    </a:prstGeom>
                  </pic:spPr>
                </pic:pic>
              </a:graphicData>
            </a:graphic>
          </wp:inline>
        </w:drawing>
      </w:r>
    </w:p>
    <w:p>
      <w:pPr>
        <w:ind w:firstLine="480" w:firstLineChars="200"/>
        <w:rPr>
          <w:rFonts w:ascii="微软雅黑" w:hAnsi="微软雅黑" w:eastAsia="微软雅黑"/>
          <w:b/>
          <w:bCs/>
          <w:sz w:val="24"/>
          <w:szCs w:val="24"/>
        </w:rPr>
      </w:pPr>
      <w:r>
        <w:rPr>
          <w:rFonts w:hint="eastAsia" w:ascii="微软雅黑" w:hAnsi="微软雅黑" w:eastAsia="微软雅黑"/>
          <w:b/>
          <w:bCs/>
          <w:sz w:val="24"/>
          <w:szCs w:val="24"/>
        </w:rPr>
        <w:t>文</w:t>
      </w:r>
      <w:r>
        <w:rPr>
          <w:rFonts w:ascii="微软雅黑" w:hAnsi="微软雅黑" w:eastAsia="微软雅黑"/>
          <w:b/>
          <w:bCs/>
          <w:sz w:val="24"/>
          <w:szCs w:val="24"/>
        </w:rPr>
        <w:t>12</w:t>
      </w:r>
      <w:r>
        <w:rPr>
          <w:rFonts w:hint="eastAsia" w:ascii="微软雅黑" w:hAnsi="微软雅黑" w:eastAsia="微软雅黑"/>
          <w:b/>
          <w:bCs/>
          <w:sz w:val="24"/>
          <w:szCs w:val="24"/>
        </w:rPr>
        <w:t>卖点梳理</w:t>
      </w:r>
    </w:p>
    <w:p>
      <w:pPr>
        <w:ind w:firstLine="480" w:firstLineChars="200"/>
        <w:rPr>
          <w:rFonts w:ascii="微软雅黑" w:hAnsi="微软雅黑" w:eastAsia="微软雅黑"/>
          <w:sz w:val="24"/>
          <w:szCs w:val="24"/>
        </w:rPr>
      </w:pPr>
      <w:r>
        <w:rPr>
          <w:rFonts w:hint="eastAsia" w:ascii="微软雅黑" w:hAnsi="微软雅黑" w:eastAsia="微软雅黑"/>
          <w:sz w:val="24"/>
          <w:szCs w:val="24"/>
        </w:rPr>
        <w:t>安徽中档宴请新选择</w:t>
      </w:r>
    </w:p>
    <w:p>
      <w:pPr>
        <w:ind w:firstLine="480" w:firstLineChars="200"/>
        <w:rPr>
          <w:rFonts w:ascii="微软雅黑" w:hAnsi="微软雅黑" w:eastAsia="微软雅黑"/>
          <w:sz w:val="24"/>
          <w:szCs w:val="24"/>
        </w:rPr>
      </w:pPr>
      <w:r>
        <w:rPr>
          <w:rFonts w:hint="eastAsia" w:ascii="微软雅黑" w:hAnsi="微软雅黑" w:eastAsia="微软雅黑"/>
          <w:sz w:val="24"/>
          <w:szCs w:val="24"/>
        </w:rPr>
        <w:t>文王贡，绵甜型白酒创立者，拥有“真年份、绵甜香、非遗酿”三大卖点。文系列，文王黄金腰部产品。文</w:t>
      </w:r>
      <w:r>
        <w:rPr>
          <w:rFonts w:ascii="微软雅黑" w:hAnsi="微软雅黑" w:eastAsia="微软雅黑"/>
          <w:sz w:val="24"/>
          <w:szCs w:val="24"/>
        </w:rPr>
        <w:t>12，真实年份，品质尊享，喜庆红色，各类喜宴不二选择。</w:t>
      </w:r>
    </w:p>
    <w:p>
      <w:pPr>
        <w:ind w:firstLine="420" w:firstLineChars="200"/>
        <w:rPr>
          <w:rFonts w:ascii="微软雅黑" w:hAnsi="微软雅黑" w:eastAsia="微软雅黑"/>
          <w:sz w:val="24"/>
          <w:szCs w:val="24"/>
        </w:rPr>
      </w:pPr>
      <w:r>
        <w:drawing>
          <wp:inline distT="0" distB="0" distL="114300" distR="114300">
            <wp:extent cx="3937635" cy="2997835"/>
            <wp:effectExtent l="0" t="0" r="9525" b="4445"/>
            <wp:docPr id="2" name="图片 3" descr="4e3b8e9310e193e69a6be0fc89eea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4e3b8e9310e193e69a6be0fc89eea7d"/>
                    <pic:cNvPicPr>
                      <a:picLocks noChangeAspect="1"/>
                    </pic:cNvPicPr>
                  </pic:nvPicPr>
                  <pic:blipFill>
                    <a:blip r:embed="rId6"/>
                    <a:srcRect t="21833" b="27500"/>
                    <a:stretch>
                      <a:fillRect/>
                    </a:stretch>
                  </pic:blipFill>
                  <pic:spPr>
                    <a:xfrm>
                      <a:off x="0" y="0"/>
                      <a:ext cx="3937635" cy="2997835"/>
                    </a:xfrm>
                    <a:prstGeom prst="rect">
                      <a:avLst/>
                    </a:prstGeom>
                  </pic:spPr>
                </pic:pic>
              </a:graphicData>
            </a:graphic>
          </wp:inline>
        </w:drawing>
      </w: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33E5DB5"/>
    <w:multiLevelType w:val="multilevel"/>
    <w:tmpl w:val="433E5DB5"/>
    <w:lvl w:ilvl="0" w:tentative="0">
      <w:start w:val="1"/>
      <w:numFmt w:val="japaneseCounting"/>
      <w:lvlText w:val="%1、"/>
      <w:lvlJc w:val="left"/>
      <w:pPr>
        <w:ind w:left="720" w:hanging="72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zczOTUzYTYwZWIzZGI0ZDVjZmZjNmJhNjBlNzk3M2YifQ=="/>
  </w:docVars>
  <w:rsids>
    <w:rsidRoot w:val="00670C71"/>
    <w:rsid w:val="000222DB"/>
    <w:rsid w:val="000434DF"/>
    <w:rsid w:val="0005256F"/>
    <w:rsid w:val="00081897"/>
    <w:rsid w:val="00086C2C"/>
    <w:rsid w:val="000F14E8"/>
    <w:rsid w:val="001456FD"/>
    <w:rsid w:val="00150942"/>
    <w:rsid w:val="00152A07"/>
    <w:rsid w:val="0015471B"/>
    <w:rsid w:val="001C2B42"/>
    <w:rsid w:val="00205FB7"/>
    <w:rsid w:val="0027535D"/>
    <w:rsid w:val="002C2111"/>
    <w:rsid w:val="003250AA"/>
    <w:rsid w:val="00354CB4"/>
    <w:rsid w:val="00354E86"/>
    <w:rsid w:val="00391083"/>
    <w:rsid w:val="003F76B6"/>
    <w:rsid w:val="004155F8"/>
    <w:rsid w:val="00427EE6"/>
    <w:rsid w:val="00484B2D"/>
    <w:rsid w:val="00487305"/>
    <w:rsid w:val="00494559"/>
    <w:rsid w:val="004E10B1"/>
    <w:rsid w:val="004F050B"/>
    <w:rsid w:val="0052330F"/>
    <w:rsid w:val="00575362"/>
    <w:rsid w:val="005C70B1"/>
    <w:rsid w:val="00647F89"/>
    <w:rsid w:val="00670C71"/>
    <w:rsid w:val="00682BA1"/>
    <w:rsid w:val="00691306"/>
    <w:rsid w:val="006D5023"/>
    <w:rsid w:val="00772D76"/>
    <w:rsid w:val="007927C6"/>
    <w:rsid w:val="007A3AA8"/>
    <w:rsid w:val="007B698A"/>
    <w:rsid w:val="00830377"/>
    <w:rsid w:val="00876E68"/>
    <w:rsid w:val="00891487"/>
    <w:rsid w:val="00917B59"/>
    <w:rsid w:val="0094332F"/>
    <w:rsid w:val="00965863"/>
    <w:rsid w:val="009D123A"/>
    <w:rsid w:val="00A353FD"/>
    <w:rsid w:val="00A53ACA"/>
    <w:rsid w:val="00A967E3"/>
    <w:rsid w:val="00B15BB8"/>
    <w:rsid w:val="00B43CDF"/>
    <w:rsid w:val="00B61C1D"/>
    <w:rsid w:val="00C065A0"/>
    <w:rsid w:val="00C377AD"/>
    <w:rsid w:val="00C45352"/>
    <w:rsid w:val="00CB1413"/>
    <w:rsid w:val="00CB79AC"/>
    <w:rsid w:val="00CD15BE"/>
    <w:rsid w:val="00D50206"/>
    <w:rsid w:val="00DC29BA"/>
    <w:rsid w:val="00E254FE"/>
    <w:rsid w:val="00E31671"/>
    <w:rsid w:val="00E32486"/>
    <w:rsid w:val="00EA4B1F"/>
    <w:rsid w:val="00EB5B51"/>
    <w:rsid w:val="00ED5849"/>
    <w:rsid w:val="00F14DAF"/>
    <w:rsid w:val="00F210AB"/>
    <w:rsid w:val="00F21875"/>
    <w:rsid w:val="00F33D4F"/>
    <w:rsid w:val="00F34DFD"/>
    <w:rsid w:val="00F430A7"/>
    <w:rsid w:val="00F54871"/>
    <w:rsid w:val="00F556B7"/>
    <w:rsid w:val="00F56386"/>
    <w:rsid w:val="00F701F4"/>
    <w:rsid w:val="00F82DAD"/>
    <w:rsid w:val="00F86EBD"/>
    <w:rsid w:val="00FF2548"/>
    <w:rsid w:val="05A56ED6"/>
    <w:rsid w:val="30EF6046"/>
    <w:rsid w:val="66E36BC7"/>
    <w:rsid w:val="782F2D3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link w:val="7"/>
    <w:unhideWhenUsed/>
    <w:qFormat/>
    <w:uiPriority w:val="99"/>
    <w:pPr>
      <w:tabs>
        <w:tab w:val="center" w:pos="4153"/>
        <w:tab w:val="right" w:pos="8306"/>
      </w:tabs>
      <w:snapToGrid w:val="0"/>
      <w:jc w:val="left"/>
    </w:pPr>
    <w:rPr>
      <w:sz w:val="18"/>
      <w:szCs w:val="18"/>
    </w:rPr>
  </w:style>
  <w:style w:type="paragraph" w:styleId="3">
    <w:name w:val="header"/>
    <w:basedOn w:val="1"/>
    <w:link w:val="6"/>
    <w:unhideWhenUsed/>
    <w:uiPriority w:val="99"/>
    <w:pPr>
      <w:pBdr>
        <w:bottom w:val="single" w:color="auto" w:sz="6" w:space="1"/>
      </w:pBdr>
      <w:tabs>
        <w:tab w:val="center" w:pos="4153"/>
        <w:tab w:val="right" w:pos="8306"/>
      </w:tabs>
      <w:snapToGrid w:val="0"/>
      <w:jc w:val="center"/>
    </w:pPr>
    <w:rPr>
      <w:sz w:val="18"/>
      <w:szCs w:val="18"/>
    </w:rPr>
  </w:style>
  <w:style w:type="character" w:customStyle="1" w:styleId="6">
    <w:name w:val="页眉 字符"/>
    <w:basedOn w:val="5"/>
    <w:link w:val="3"/>
    <w:qFormat/>
    <w:uiPriority w:val="99"/>
    <w:rPr>
      <w:sz w:val="18"/>
      <w:szCs w:val="18"/>
    </w:rPr>
  </w:style>
  <w:style w:type="character" w:customStyle="1" w:styleId="7">
    <w:name w:val="页脚 字符"/>
    <w:basedOn w:val="5"/>
    <w:link w:val="2"/>
    <w:qFormat/>
    <w:uiPriority w:val="99"/>
    <w:rPr>
      <w:sz w:val="18"/>
      <w:szCs w:val="18"/>
    </w:rPr>
  </w:style>
  <w:style w:type="paragraph" w:styleId="8">
    <w:name w:val="List Paragraph"/>
    <w:basedOn w:val="1"/>
    <w:unhideWhenUsed/>
    <w:uiPriority w:val="99"/>
    <w:pPr>
      <w:ind w:firstLine="420" w:firstLineChars="200"/>
    </w:p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2</Pages>
  <Words>896</Words>
  <Characters>942</Characters>
  <Lines>6</Lines>
  <Paragraphs>1</Paragraphs>
  <TotalTime>3</TotalTime>
  <ScaleCrop>false</ScaleCrop>
  <LinksUpToDate>false</LinksUpToDate>
  <CharactersWithSpaces>942</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2023-08-03T06:27:00Z</dcterms:created>
  <dc:creator>zongxue</dc:creator>
  <cp:lastModifiedBy>^Dou b le</cp:lastModifiedBy>
  <dcterms:modified xsi:type="dcterms:W3CDTF">2023-09-18T01:27:01Z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E84C7221D38546588E61AE587406073A_13</vt:lpwstr>
  </property>
</Properties>
</file>